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EC18EE" w:rsidRDefault="00EC18EE">
      <w:pPr>
        <w:spacing w:before="0"/>
        <w:ind w:firstLine="0"/>
        <w:jc w:val="center"/>
        <w:rPr>
          <w:b/>
          <w:sz w:val="24"/>
          <w:szCs w:val="24"/>
        </w:rPr>
      </w:pPr>
    </w:p>
    <w:p w:rsidR="00EC18EE" w:rsidRDefault="00EC18EE">
      <w:pPr>
        <w:spacing w:before="0"/>
        <w:ind w:firstLine="0"/>
        <w:jc w:val="center"/>
        <w:rPr>
          <w:b/>
          <w:sz w:val="24"/>
          <w:szCs w:val="24"/>
        </w:rPr>
      </w:pPr>
    </w:p>
    <w:p w:rsidR="00EC18EE" w:rsidRDefault="00B14778">
      <w:pPr>
        <w:spacing w:before="0"/>
        <w:ind w:firstLine="0"/>
        <w:jc w:val="center"/>
      </w:pPr>
      <w:bookmarkStart w:id="0" w:name="_heading=h.gjdgxs" w:colFirst="0" w:colLast="0"/>
      <w:bookmarkEnd w:id="0"/>
      <w:r>
        <w:rPr>
          <w:b/>
          <w:sz w:val="24"/>
          <w:szCs w:val="24"/>
        </w:rPr>
        <w:t>DR</w:t>
      </w:r>
      <w:r w:rsidR="00AA74E6">
        <w:rPr>
          <w:b/>
          <w:sz w:val="24"/>
          <w:szCs w:val="24"/>
        </w:rPr>
        <w:t>AFT JUDUL ARTIKEL TECHNOPEX-2025</w:t>
      </w:r>
      <w:r>
        <w:rPr>
          <w:b/>
          <w:sz w:val="24"/>
          <w:szCs w:val="24"/>
        </w:rPr>
        <w:t xml:space="preserve"> ITI </w:t>
      </w:r>
    </w:p>
    <w:p w:rsidR="00EC18EE" w:rsidRDefault="00B14778">
      <w:pPr>
        <w:spacing w:before="0"/>
        <w:ind w:firstLine="0"/>
        <w:jc w:val="center"/>
      </w:pPr>
      <w:r>
        <w:rPr>
          <w:b/>
          <w:smallCaps/>
          <w:sz w:val="24"/>
          <w:szCs w:val="24"/>
        </w:rPr>
        <w:t>TIMES NEW ROMAN BOLD 12 PT</w:t>
      </w:r>
    </w:p>
    <w:p w:rsidR="00EC18EE" w:rsidRDefault="00B14778">
      <w:pPr>
        <w:tabs>
          <w:tab w:val="left" w:pos="6375"/>
        </w:tabs>
        <w:spacing w:before="0"/>
        <w:ind w:firstLine="0"/>
        <w:jc w:val="left"/>
      </w:pPr>
      <w:r>
        <w:rPr>
          <w:rFonts w:ascii="Trebuchet MS" w:eastAsia="Trebuchet MS" w:hAnsi="Trebuchet MS" w:cs="Trebuchet MS"/>
          <w:b/>
          <w:sz w:val="24"/>
          <w:szCs w:val="24"/>
        </w:rPr>
        <w:tab/>
      </w:r>
    </w:p>
    <w:p w:rsidR="00EC18EE" w:rsidRDefault="00B14778">
      <w:pPr>
        <w:spacing w:before="0"/>
        <w:ind w:firstLine="0"/>
        <w:jc w:val="center"/>
      </w:pPr>
      <w:r>
        <w:rPr>
          <w:b/>
        </w:rPr>
        <w:t xml:space="preserve">Nur Cahaya Gemilang </w:t>
      </w:r>
      <w:r>
        <w:rPr>
          <w:b/>
          <w:vertAlign w:val="superscript"/>
        </w:rPr>
        <w:t>1)</w:t>
      </w:r>
      <w:r>
        <w:t xml:space="preserve">, </w:t>
      </w:r>
      <w:r>
        <w:rPr>
          <w:b/>
        </w:rPr>
        <w:t>Cendekiawati .</w:t>
      </w:r>
      <w:r>
        <w:rPr>
          <w:b/>
          <w:vertAlign w:val="superscript"/>
        </w:rPr>
        <w:t>2)</w:t>
      </w:r>
      <w:r>
        <w:rPr>
          <w:b/>
        </w:rPr>
        <w:t xml:space="preserve"> (Times New Roman 11 pt)</w:t>
      </w:r>
    </w:p>
    <w:p w:rsidR="00EC18EE" w:rsidRDefault="00B14778">
      <w:pPr>
        <w:numPr>
          <w:ilvl w:val="0"/>
          <w:numId w:val="2"/>
        </w:numPr>
        <w:spacing w:before="0"/>
        <w:ind w:left="0" w:hanging="360"/>
        <w:jc w:val="center"/>
      </w:pPr>
      <w:r>
        <w:t xml:space="preserve">Program Studi Teknik Mesin Institut Teknologi Indonesia </w:t>
      </w:r>
    </w:p>
    <w:p w:rsidR="00EC18EE" w:rsidRDefault="00B14778">
      <w:pPr>
        <w:spacing w:before="0"/>
        <w:ind w:firstLine="0"/>
        <w:jc w:val="center"/>
      </w:pPr>
      <w:r>
        <w:rPr>
          <w:sz w:val="20"/>
          <w:szCs w:val="20"/>
        </w:rPr>
        <w:t xml:space="preserve">E-mail: </w:t>
      </w:r>
      <w:hyperlink r:id="rId8">
        <w:r>
          <w:rPr>
            <w:color w:val="0000FF"/>
            <w:u w:val="single"/>
          </w:rPr>
          <w:t>nurcahaya</w:t>
        </w:r>
      </w:hyperlink>
      <w:hyperlink r:id="rId9">
        <w:r>
          <w:rPr>
            <w:color w:val="0000FF"/>
            <w:sz w:val="20"/>
            <w:szCs w:val="20"/>
            <w:u w:val="single"/>
          </w:rPr>
          <w:t>@gmail.com</w:t>
        </w:r>
      </w:hyperlink>
      <w:r>
        <w:rPr>
          <w:sz w:val="20"/>
          <w:szCs w:val="20"/>
        </w:rPr>
        <w:t xml:space="preserve"> (10 pt)</w:t>
      </w:r>
    </w:p>
    <w:p w:rsidR="00EC18EE" w:rsidRDefault="00B14778">
      <w:pPr>
        <w:spacing w:before="0"/>
        <w:ind w:firstLine="0"/>
        <w:jc w:val="center"/>
      </w:pPr>
      <w:r>
        <w:t xml:space="preserve">2) Ukhuwah Foundation </w:t>
      </w:r>
    </w:p>
    <w:p w:rsidR="00EC18EE" w:rsidRDefault="00EC18EE">
      <w:pPr>
        <w:spacing w:before="0"/>
        <w:ind w:firstLine="0"/>
      </w:pPr>
    </w:p>
    <w:p w:rsidR="00EC18EE" w:rsidRDefault="00B14778">
      <w:pPr>
        <w:spacing w:before="0"/>
        <w:ind w:firstLine="0"/>
        <w:jc w:val="center"/>
        <w:rPr>
          <w:i/>
        </w:rPr>
      </w:pPr>
      <w:r>
        <w:rPr>
          <w:b/>
          <w:i/>
          <w:sz w:val="20"/>
          <w:szCs w:val="20"/>
        </w:rPr>
        <w:t>Abstrak (10 pt)</w:t>
      </w:r>
    </w:p>
    <w:p w:rsidR="00EC18EE" w:rsidRDefault="00B14778">
      <w:pPr>
        <w:spacing w:before="0"/>
        <w:ind w:right="571" w:firstLine="0"/>
        <w:rPr>
          <w:i/>
        </w:rPr>
      </w:pPr>
      <w:r>
        <w:rPr>
          <w:i/>
          <w:sz w:val="20"/>
          <w:szCs w:val="20"/>
        </w:rPr>
        <w:t xml:space="preserve">Makalah diketik pada kertas ukuran A4 dengan font Times New Romans dengan ketentuan : Seluruh font adalah 11 pt, spasi tunggal dan 1 kolom. Batas margin atas 2,5 cm, kiri 3 cm, bawah 2,5 cm dan margin kanan 2,5 cm. Judul makalah (font 12 pt dan </w:t>
      </w:r>
      <w:r>
        <w:rPr>
          <w:b/>
          <w:i/>
          <w:sz w:val="20"/>
          <w:szCs w:val="20"/>
        </w:rPr>
        <w:t>bold</w:t>
      </w:r>
      <w:r>
        <w:rPr>
          <w:i/>
          <w:sz w:val="20"/>
          <w:szCs w:val="20"/>
        </w:rPr>
        <w:t>) dan nama penulis (tanpa gelar akademis) ditulis rata tengah pada halaman pertama. Penulis utama ditulis pada urutan pertama diikuti oleh penulis lainya. Makalah diawali dengan abstrak yang berisi maksimum 200 kata dengan bahasa Indonesia dan ditulis dalam satu paragraf. Abstrak berisi ringkasan penelitian yang meliputi latar belakang, tujuan, metode dan kesimpulan hasil penelitian. Abstrak dituliskan dengan font 10 pt berspasi tunggal dan cetak miring.</w:t>
      </w:r>
    </w:p>
    <w:p w:rsidR="00EC18EE" w:rsidRDefault="00B14778">
      <w:pPr>
        <w:spacing w:before="0"/>
        <w:ind w:right="571" w:firstLine="0"/>
      </w:pPr>
      <w:r>
        <w:rPr>
          <w:b/>
          <w:sz w:val="20"/>
          <w:szCs w:val="20"/>
        </w:rPr>
        <w:t>Kata kunci</w:t>
      </w:r>
      <w:r>
        <w:rPr>
          <w:sz w:val="20"/>
          <w:szCs w:val="20"/>
        </w:rPr>
        <w:t xml:space="preserve">: </w:t>
      </w:r>
      <w:r>
        <w:rPr>
          <w:i/>
          <w:sz w:val="20"/>
          <w:szCs w:val="20"/>
        </w:rPr>
        <w:t>3-5 kata.</w:t>
      </w:r>
    </w:p>
    <w:p w:rsidR="00EC18EE" w:rsidRDefault="00EC18EE">
      <w:pPr>
        <w:spacing w:before="0"/>
        <w:ind w:firstLine="0"/>
      </w:pPr>
    </w:p>
    <w:p w:rsidR="00EC18EE" w:rsidRDefault="00B14778">
      <w:pPr>
        <w:spacing w:before="0"/>
        <w:ind w:firstLine="0"/>
      </w:pPr>
      <w:r>
        <w:rPr>
          <w:b/>
        </w:rPr>
        <w:t>Pendahuluan</w:t>
      </w:r>
    </w:p>
    <w:p w:rsidR="00EC18EE" w:rsidRDefault="00B14778">
      <w:pPr>
        <w:spacing w:before="0"/>
        <w:ind w:firstLine="720"/>
      </w:pPr>
      <w:r>
        <w:t>Makalah yang dikirimkan sudah harus dalam bentuk siap cetak dan sesuai dengan format yang telah ditentukan [1]. Sebelum masuk proses review makalah akan diperiksa menggunakan</w:t>
      </w:r>
      <w:r w:rsidR="00AA74E6">
        <w:t xml:space="preserve"> aplikasi pendeteksi kesamaan (</w:t>
      </w:r>
      <w:bookmarkStart w:id="1" w:name="_GoBack"/>
      <w:bookmarkEnd w:id="1"/>
      <w:r>
        <w:t xml:space="preserve">aplikasi Turnitin). </w:t>
      </w:r>
    </w:p>
    <w:p w:rsidR="00EC18EE" w:rsidRDefault="00EC18EE">
      <w:pPr>
        <w:spacing w:before="0"/>
        <w:ind w:firstLine="720"/>
      </w:pPr>
    </w:p>
    <w:p w:rsidR="00EC18EE" w:rsidRDefault="00B14778">
      <w:pPr>
        <w:spacing w:before="0"/>
        <w:ind w:firstLine="0"/>
      </w:pPr>
      <w:r>
        <w:rPr>
          <w:b/>
        </w:rPr>
        <w:t xml:space="preserve">Studi Pustaka </w:t>
      </w:r>
    </w:p>
    <w:p w:rsidR="00EC18EE" w:rsidRDefault="00B14778">
      <w:pPr>
        <w:spacing w:before="0"/>
        <w:ind w:firstLine="709"/>
      </w:pPr>
      <w:r>
        <w:t xml:space="preserve">Makalah ditulis dengan menggunakan bahasa Bahasa Indonesia baku. Makalah harus memiliki </w:t>
      </w:r>
      <w:r>
        <w:rPr>
          <w:b/>
        </w:rPr>
        <w:t>maksimum 6 halaman</w:t>
      </w:r>
      <w:r>
        <w:t xml:space="preserve"> yang didalamnya sudah termasuk gambar dan tabel. Bila jumlah halaman melebihi ketentuan maksimum maka setiap kelebihan halaman akan dikenakan </w:t>
      </w:r>
      <w:r>
        <w:rPr>
          <w:b/>
        </w:rPr>
        <w:t>biaya tambahan sebesar Rp 50.000 per halaman</w:t>
      </w:r>
    </w:p>
    <w:p w:rsidR="00EC18EE" w:rsidRDefault="00B14778">
      <w:pPr>
        <w:spacing w:before="0"/>
        <w:ind w:firstLine="709"/>
      </w:pPr>
      <w:r>
        <w:t>Penulisan makalah memenuhi ketentuan berikut:</w:t>
      </w:r>
    </w:p>
    <w:p w:rsidR="00EC18EE" w:rsidRDefault="00B14778">
      <w:pPr>
        <w:numPr>
          <w:ilvl w:val="0"/>
          <w:numId w:val="4"/>
        </w:numPr>
        <w:spacing w:before="0"/>
        <w:ind w:left="709" w:hanging="425"/>
      </w:pPr>
      <w:r>
        <w:t>Artikel dituliskan dengan tepi kanan dan kiri rata (</w:t>
      </w:r>
      <w:r>
        <w:rPr>
          <w:i/>
        </w:rPr>
        <w:t>justified</w:t>
      </w:r>
      <w:r>
        <w:t>), dan indentasi awal paragraf (</w:t>
      </w:r>
      <w:r>
        <w:rPr>
          <w:i/>
        </w:rPr>
        <w:t>first line</w:t>
      </w:r>
      <w:r>
        <w:t>) 1,25 cm.</w:t>
      </w:r>
    </w:p>
    <w:p w:rsidR="00EC18EE" w:rsidRDefault="00B14778">
      <w:pPr>
        <w:numPr>
          <w:ilvl w:val="0"/>
          <w:numId w:val="4"/>
        </w:numPr>
        <w:spacing w:before="0"/>
        <w:ind w:left="709" w:hanging="425"/>
      </w:pPr>
      <w:r>
        <w:t>Makalah disimpan dengan nama file: nama belakang penulis utama_instansi.dox</w:t>
      </w:r>
    </w:p>
    <w:p w:rsidR="00EC18EE" w:rsidRDefault="00B14778">
      <w:pPr>
        <w:spacing w:before="0"/>
        <w:ind w:firstLine="720"/>
      </w:pPr>
      <w:r>
        <w:t>Gambar diletakkan di tengah (centered) dan nomor/nama gambar ditulis dibawah gambar. Tabel juga diletakkan di tengah (centered) dan nama/nomor tabel diletakkan di atas tabel.</w:t>
      </w:r>
    </w:p>
    <w:p w:rsidR="00EC18EE" w:rsidRDefault="00B14778">
      <w:pPr>
        <w:pBdr>
          <w:top w:val="nil"/>
          <w:left w:val="nil"/>
          <w:bottom w:val="nil"/>
          <w:right w:val="nil"/>
          <w:between w:val="nil"/>
        </w:pBdr>
        <w:spacing w:before="0"/>
        <w:ind w:firstLine="709"/>
        <w:jc w:val="left"/>
        <w:rPr>
          <w:color w:val="000000"/>
          <w:sz w:val="24"/>
          <w:szCs w:val="24"/>
        </w:rPr>
      </w:pPr>
      <w:r>
        <w:rPr>
          <w:color w:val="000000"/>
        </w:rPr>
        <w:t xml:space="preserve">Sistem penulisan daftar pustaka dan sistem penulisan kutipan  mengikuti sistem IEEE. Dalam sistem ini penulisan kutipan diikuti dengan angka yang diletakkan dalam tanda kurung siku, contoh: [1], [2] dan seterusnya.  Penulisan daftar </w:t>
      </w:r>
      <w:r>
        <w:t>pustaka</w:t>
      </w:r>
      <w:r>
        <w:rPr>
          <w:color w:val="000000"/>
        </w:rPr>
        <w:t xml:space="preserve"> sistem IEEE mengikuti contoh.</w:t>
      </w:r>
    </w:p>
    <w:p w:rsidR="00EC18EE" w:rsidRDefault="00EC18EE">
      <w:pPr>
        <w:spacing w:before="0"/>
        <w:ind w:firstLine="720"/>
      </w:pPr>
    </w:p>
    <w:p w:rsidR="00EC18EE" w:rsidRDefault="00B14778">
      <w:pPr>
        <w:spacing w:before="0"/>
        <w:ind w:firstLine="720"/>
      </w:pPr>
      <w:r>
        <w:t>Penulisan persamaan mengikuti contoh  dibawah ini :</w:t>
      </w:r>
    </w:p>
    <w:p w:rsidR="00EC18EE" w:rsidRDefault="00B14778">
      <w:pPr>
        <w:spacing w:before="0"/>
        <w:ind w:firstLine="720"/>
      </w:pPr>
      <w:r>
        <w:t>2x + 3y = 10</w:t>
      </w:r>
      <w:r>
        <w:tab/>
      </w:r>
      <w:r>
        <w:tab/>
      </w:r>
      <w:r>
        <w:tab/>
      </w:r>
      <w:r>
        <w:tab/>
      </w:r>
      <w:r>
        <w:tab/>
      </w:r>
      <w:r>
        <w:tab/>
      </w:r>
      <w:r>
        <w:tab/>
      </w:r>
      <w:r>
        <w:tab/>
      </w:r>
      <w:r>
        <w:tab/>
        <w:t>(1)</w:t>
      </w:r>
    </w:p>
    <w:p w:rsidR="00EC18EE" w:rsidRDefault="00EC18EE">
      <w:pPr>
        <w:spacing w:before="0"/>
        <w:ind w:firstLine="720"/>
      </w:pPr>
    </w:p>
    <w:p w:rsidR="00EC18EE" w:rsidRDefault="00B14778">
      <w:pPr>
        <w:spacing w:before="0"/>
        <w:ind w:firstLine="0"/>
      </w:pPr>
      <w:r>
        <w:rPr>
          <w:b/>
        </w:rPr>
        <w:t xml:space="preserve">Metodologi Penelitian </w:t>
      </w:r>
    </w:p>
    <w:p w:rsidR="00EC18EE" w:rsidRDefault="00B14778">
      <w:pPr>
        <w:spacing w:before="0"/>
        <w:ind w:firstLine="720"/>
      </w:pPr>
      <w:r>
        <w:t xml:space="preserve">Metodologi penelitian bisa merupakan uraian kalimat atau dibuatkan diagram alir penelitian. </w:t>
      </w:r>
    </w:p>
    <w:p w:rsidR="00EC18EE" w:rsidRDefault="00B14778">
      <w:r>
        <w:br w:type="page"/>
      </w:r>
    </w:p>
    <w:p w:rsidR="00EC18EE" w:rsidRDefault="00EC18EE">
      <w:pPr>
        <w:spacing w:before="0"/>
        <w:ind w:firstLine="720"/>
      </w:pPr>
    </w:p>
    <w:p w:rsidR="00EC18EE" w:rsidRDefault="00B14778">
      <w:pPr>
        <w:spacing w:before="0"/>
        <w:ind w:firstLine="0"/>
      </w:pPr>
      <w:r>
        <w:rPr>
          <w:b/>
        </w:rPr>
        <w:t xml:space="preserve">Hasil dan Pembahasan </w:t>
      </w:r>
    </w:p>
    <w:p w:rsidR="00EC18EE" w:rsidRDefault="00B14778">
      <w:pPr>
        <w:spacing w:before="0"/>
        <w:ind w:firstLine="720"/>
      </w:pPr>
      <w:r>
        <w:t>Isi makalah hendaknya memuat hal berikut: Abstrak; Pendahuluan; Metodologi; Hasil dan Pembahasan; Kesimpulan; Daftar notasi/istilah (bila perlu); Ucapan Terima Kasih (bila perlu); Daftar Pustaka.</w:t>
      </w:r>
    </w:p>
    <w:p w:rsidR="00EC18EE" w:rsidRDefault="00EC18EE">
      <w:pPr>
        <w:spacing w:before="0"/>
        <w:ind w:firstLine="720"/>
      </w:pPr>
    </w:p>
    <w:tbl>
      <w:tblPr>
        <w:tblStyle w:val="2"/>
        <w:tblW w:w="3204" w:type="dxa"/>
        <w:jc w:val="center"/>
        <w:tblLayout w:type="fixed"/>
        <w:tblLook w:val="0000" w:firstRow="0" w:lastRow="0" w:firstColumn="0" w:lastColumn="0" w:noHBand="0" w:noVBand="0"/>
      </w:tblPr>
      <w:tblGrid>
        <w:gridCol w:w="3204"/>
      </w:tblGrid>
      <w:tr w:rsidR="00EC18EE">
        <w:trPr>
          <w:jc w:val="center"/>
        </w:trPr>
        <w:tc>
          <w:tcPr>
            <w:tcW w:w="3204" w:type="dxa"/>
          </w:tcPr>
          <w:p w:rsidR="00EC18EE" w:rsidRDefault="00EC18EE">
            <w:pPr>
              <w:spacing w:before="0"/>
              <w:ind w:firstLine="0"/>
            </w:pPr>
          </w:p>
        </w:tc>
      </w:tr>
      <w:tr w:rsidR="00EC18EE">
        <w:trPr>
          <w:trHeight w:val="320"/>
          <w:jc w:val="center"/>
        </w:trPr>
        <w:tc>
          <w:tcPr>
            <w:tcW w:w="3204" w:type="dxa"/>
            <w:vMerge w:val="restart"/>
          </w:tcPr>
          <w:p w:rsidR="00EC18EE" w:rsidRDefault="00B14778">
            <w:pPr>
              <w:spacing w:before="0"/>
              <w:ind w:firstLine="0"/>
            </w:pPr>
            <w:r>
              <w:rPr>
                <w:noProof/>
                <w:lang w:val="en-US"/>
              </w:rPr>
              <w:drawing>
                <wp:inline distT="0" distB="0" distL="114300" distR="114300">
                  <wp:extent cx="1897380" cy="1494155"/>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a:stretch>
                            <a:fillRect/>
                          </a:stretch>
                        </pic:blipFill>
                        <pic:spPr>
                          <a:xfrm>
                            <a:off x="0" y="0"/>
                            <a:ext cx="1897380" cy="1494155"/>
                          </a:xfrm>
                          <a:prstGeom prst="rect">
                            <a:avLst/>
                          </a:prstGeom>
                          <a:ln/>
                        </pic:spPr>
                      </pic:pic>
                    </a:graphicData>
                  </a:graphic>
                </wp:inline>
              </w:drawing>
            </w:r>
          </w:p>
        </w:tc>
      </w:tr>
      <w:tr w:rsidR="00EC18EE">
        <w:trPr>
          <w:trHeight w:val="320"/>
          <w:jc w:val="center"/>
        </w:trPr>
        <w:tc>
          <w:tcPr>
            <w:tcW w:w="3204" w:type="dxa"/>
            <w:vMerge/>
          </w:tcPr>
          <w:p w:rsidR="00EC18EE" w:rsidRDefault="00EC18EE">
            <w:pPr>
              <w:widowControl w:val="0"/>
              <w:pBdr>
                <w:top w:val="nil"/>
                <w:left w:val="nil"/>
                <w:bottom w:val="nil"/>
                <w:right w:val="nil"/>
                <w:between w:val="nil"/>
              </w:pBdr>
              <w:spacing w:before="0" w:line="276" w:lineRule="auto"/>
              <w:ind w:firstLine="0"/>
              <w:jc w:val="left"/>
            </w:pPr>
          </w:p>
        </w:tc>
      </w:tr>
      <w:tr w:rsidR="00EC18EE">
        <w:trPr>
          <w:trHeight w:val="320"/>
          <w:jc w:val="center"/>
        </w:trPr>
        <w:tc>
          <w:tcPr>
            <w:tcW w:w="3204" w:type="dxa"/>
            <w:vMerge/>
          </w:tcPr>
          <w:p w:rsidR="00EC18EE" w:rsidRDefault="00EC18EE">
            <w:pPr>
              <w:widowControl w:val="0"/>
              <w:pBdr>
                <w:top w:val="nil"/>
                <w:left w:val="nil"/>
                <w:bottom w:val="nil"/>
                <w:right w:val="nil"/>
                <w:between w:val="nil"/>
              </w:pBdr>
              <w:spacing w:before="0" w:line="276" w:lineRule="auto"/>
              <w:ind w:firstLine="0"/>
              <w:jc w:val="left"/>
            </w:pPr>
          </w:p>
        </w:tc>
      </w:tr>
      <w:tr w:rsidR="00EC18EE">
        <w:trPr>
          <w:trHeight w:val="320"/>
          <w:jc w:val="center"/>
        </w:trPr>
        <w:tc>
          <w:tcPr>
            <w:tcW w:w="3204" w:type="dxa"/>
            <w:vMerge/>
          </w:tcPr>
          <w:p w:rsidR="00EC18EE" w:rsidRDefault="00EC18EE">
            <w:pPr>
              <w:widowControl w:val="0"/>
              <w:pBdr>
                <w:top w:val="nil"/>
                <w:left w:val="nil"/>
                <w:bottom w:val="nil"/>
                <w:right w:val="nil"/>
                <w:between w:val="nil"/>
              </w:pBdr>
              <w:spacing w:before="0" w:line="276" w:lineRule="auto"/>
              <w:ind w:firstLine="0"/>
              <w:jc w:val="left"/>
            </w:pPr>
          </w:p>
        </w:tc>
      </w:tr>
      <w:tr w:rsidR="00EC18EE">
        <w:trPr>
          <w:trHeight w:val="320"/>
          <w:jc w:val="center"/>
        </w:trPr>
        <w:tc>
          <w:tcPr>
            <w:tcW w:w="3204" w:type="dxa"/>
            <w:vMerge/>
          </w:tcPr>
          <w:p w:rsidR="00EC18EE" w:rsidRDefault="00EC18EE">
            <w:pPr>
              <w:widowControl w:val="0"/>
              <w:pBdr>
                <w:top w:val="nil"/>
                <w:left w:val="nil"/>
                <w:bottom w:val="nil"/>
                <w:right w:val="nil"/>
                <w:between w:val="nil"/>
              </w:pBdr>
              <w:spacing w:before="0" w:line="276" w:lineRule="auto"/>
              <w:ind w:firstLine="0"/>
              <w:jc w:val="left"/>
            </w:pPr>
          </w:p>
        </w:tc>
      </w:tr>
      <w:tr w:rsidR="00EC18EE">
        <w:trPr>
          <w:jc w:val="center"/>
        </w:trPr>
        <w:tc>
          <w:tcPr>
            <w:tcW w:w="3204" w:type="dxa"/>
          </w:tcPr>
          <w:p w:rsidR="00EC18EE" w:rsidRDefault="00EC18EE">
            <w:pPr>
              <w:spacing w:before="0"/>
              <w:ind w:firstLine="0"/>
              <w:jc w:val="center"/>
            </w:pPr>
          </w:p>
          <w:p w:rsidR="00EC18EE" w:rsidRDefault="00B14778">
            <w:pPr>
              <w:spacing w:before="0"/>
              <w:ind w:firstLine="0"/>
              <w:jc w:val="center"/>
            </w:pPr>
            <w:r>
              <w:t>Gambar 1. Graphit bulat</w:t>
            </w:r>
          </w:p>
        </w:tc>
      </w:tr>
    </w:tbl>
    <w:p w:rsidR="00EC18EE" w:rsidRDefault="00EC18EE">
      <w:pPr>
        <w:spacing w:before="0"/>
        <w:ind w:firstLine="0"/>
      </w:pPr>
    </w:p>
    <w:tbl>
      <w:tblPr>
        <w:tblStyle w:val="1"/>
        <w:tblW w:w="3621" w:type="dxa"/>
        <w:jc w:val="center"/>
        <w:tblLayout w:type="fixed"/>
        <w:tblLook w:val="0000" w:firstRow="0" w:lastRow="0" w:firstColumn="0" w:lastColumn="0" w:noHBand="0" w:noVBand="0"/>
      </w:tblPr>
      <w:tblGrid>
        <w:gridCol w:w="1484"/>
        <w:gridCol w:w="2137"/>
      </w:tblGrid>
      <w:tr w:rsidR="00EC18EE">
        <w:trPr>
          <w:jc w:val="center"/>
        </w:trPr>
        <w:tc>
          <w:tcPr>
            <w:tcW w:w="3621" w:type="dxa"/>
            <w:gridSpan w:val="2"/>
            <w:tcBorders>
              <w:bottom w:val="single" w:sz="4" w:space="0" w:color="000000"/>
            </w:tcBorders>
          </w:tcPr>
          <w:p w:rsidR="00EC18EE" w:rsidRDefault="00B14778">
            <w:pPr>
              <w:spacing w:before="0"/>
              <w:ind w:firstLine="0"/>
            </w:pPr>
            <w:r>
              <w:rPr>
                <w:b/>
              </w:rPr>
              <w:t xml:space="preserve">Tabel 1. Tebal Lapisan Intermetalik </w:t>
            </w:r>
          </w:p>
        </w:tc>
      </w:tr>
      <w:tr w:rsidR="00EC18EE">
        <w:trPr>
          <w:trHeight w:val="320"/>
          <w:jc w:val="center"/>
        </w:trPr>
        <w:tc>
          <w:tcPr>
            <w:tcW w:w="1484" w:type="dxa"/>
            <w:tcBorders>
              <w:top w:val="single" w:sz="4" w:space="0" w:color="000000"/>
              <w:bottom w:val="single" w:sz="4" w:space="0" w:color="000000"/>
            </w:tcBorders>
          </w:tcPr>
          <w:p w:rsidR="00EC18EE" w:rsidRDefault="00B14778">
            <w:pPr>
              <w:spacing w:before="0"/>
              <w:ind w:firstLine="0"/>
              <w:jc w:val="center"/>
            </w:pPr>
            <w:r>
              <w:t>Sampel</w:t>
            </w:r>
          </w:p>
        </w:tc>
        <w:tc>
          <w:tcPr>
            <w:tcW w:w="2137" w:type="dxa"/>
            <w:tcBorders>
              <w:top w:val="single" w:sz="4" w:space="0" w:color="000000"/>
              <w:bottom w:val="single" w:sz="4" w:space="0" w:color="000000"/>
            </w:tcBorders>
          </w:tcPr>
          <w:p w:rsidR="00EC18EE" w:rsidRDefault="00B14778">
            <w:pPr>
              <w:spacing w:before="0"/>
              <w:ind w:firstLine="0"/>
              <w:jc w:val="center"/>
            </w:pPr>
            <w:r>
              <w:t>Tebal (mm)</w:t>
            </w:r>
          </w:p>
        </w:tc>
      </w:tr>
      <w:tr w:rsidR="00EC18EE">
        <w:trPr>
          <w:trHeight w:val="320"/>
          <w:jc w:val="center"/>
        </w:trPr>
        <w:tc>
          <w:tcPr>
            <w:tcW w:w="1484" w:type="dxa"/>
            <w:tcBorders>
              <w:top w:val="single" w:sz="4" w:space="0" w:color="000000"/>
            </w:tcBorders>
          </w:tcPr>
          <w:p w:rsidR="00EC18EE" w:rsidRDefault="00B14778">
            <w:pPr>
              <w:spacing w:before="0"/>
              <w:ind w:firstLine="0"/>
              <w:jc w:val="center"/>
            </w:pPr>
            <w:r>
              <w:t>ADI 1</w:t>
            </w:r>
          </w:p>
        </w:tc>
        <w:tc>
          <w:tcPr>
            <w:tcW w:w="2137" w:type="dxa"/>
            <w:tcBorders>
              <w:top w:val="single" w:sz="4" w:space="0" w:color="000000"/>
            </w:tcBorders>
          </w:tcPr>
          <w:p w:rsidR="00EC18EE" w:rsidRDefault="00B14778">
            <w:pPr>
              <w:spacing w:before="0"/>
              <w:ind w:firstLine="0"/>
              <w:jc w:val="center"/>
            </w:pPr>
            <w:r>
              <w:t>10</w:t>
            </w:r>
          </w:p>
        </w:tc>
      </w:tr>
      <w:tr w:rsidR="00EC18EE">
        <w:trPr>
          <w:trHeight w:val="320"/>
          <w:jc w:val="center"/>
        </w:trPr>
        <w:tc>
          <w:tcPr>
            <w:tcW w:w="1484" w:type="dxa"/>
            <w:tcBorders>
              <w:bottom w:val="single" w:sz="4" w:space="0" w:color="000000"/>
            </w:tcBorders>
          </w:tcPr>
          <w:p w:rsidR="00EC18EE" w:rsidRDefault="00B14778">
            <w:pPr>
              <w:spacing w:before="0"/>
              <w:ind w:firstLine="0"/>
              <w:jc w:val="center"/>
            </w:pPr>
            <w:r>
              <w:t>ADI 2</w:t>
            </w:r>
          </w:p>
        </w:tc>
        <w:tc>
          <w:tcPr>
            <w:tcW w:w="2137" w:type="dxa"/>
            <w:tcBorders>
              <w:bottom w:val="single" w:sz="4" w:space="0" w:color="000000"/>
            </w:tcBorders>
          </w:tcPr>
          <w:p w:rsidR="00EC18EE" w:rsidRDefault="00B14778">
            <w:pPr>
              <w:spacing w:before="0"/>
              <w:ind w:firstLine="0"/>
              <w:jc w:val="center"/>
            </w:pPr>
            <w:r>
              <w:t>15</w:t>
            </w:r>
          </w:p>
        </w:tc>
      </w:tr>
    </w:tbl>
    <w:p w:rsidR="00EC18EE" w:rsidRDefault="00EC18EE">
      <w:pPr>
        <w:spacing w:before="0"/>
        <w:ind w:firstLine="0"/>
      </w:pPr>
    </w:p>
    <w:p w:rsidR="00EC18EE" w:rsidRDefault="00EC18EE">
      <w:pPr>
        <w:spacing w:before="0"/>
        <w:ind w:firstLine="0"/>
      </w:pPr>
    </w:p>
    <w:p w:rsidR="00EC18EE" w:rsidRDefault="00B14778">
      <w:pPr>
        <w:spacing w:before="0"/>
        <w:ind w:firstLine="0"/>
      </w:pPr>
      <w:r>
        <w:rPr>
          <w:b/>
        </w:rPr>
        <w:t xml:space="preserve">Kesimpulan </w:t>
      </w:r>
    </w:p>
    <w:p w:rsidR="00EC18EE" w:rsidRDefault="00B14778">
      <w:pPr>
        <w:spacing w:before="0"/>
        <w:ind w:firstLine="720"/>
      </w:pPr>
      <w:r>
        <w:t>Berisikan kesimpulan penelitian yang ditulis :</w:t>
      </w:r>
    </w:p>
    <w:p w:rsidR="00EC18EE" w:rsidRDefault="00B14778">
      <w:pPr>
        <w:numPr>
          <w:ilvl w:val="0"/>
          <w:numId w:val="3"/>
        </w:numPr>
        <w:spacing w:before="0"/>
        <w:ind w:left="0" w:firstLine="0"/>
      </w:pPr>
      <w:r>
        <w:t xml:space="preserve">Secara uraian </w:t>
      </w:r>
    </w:p>
    <w:p w:rsidR="00EC18EE" w:rsidRDefault="00B14778">
      <w:pPr>
        <w:numPr>
          <w:ilvl w:val="0"/>
          <w:numId w:val="3"/>
        </w:numPr>
        <w:spacing w:before="0"/>
        <w:ind w:left="0" w:firstLine="0"/>
      </w:pPr>
      <w:r>
        <w:t>Atau penomoran</w:t>
      </w:r>
    </w:p>
    <w:p w:rsidR="00EC18EE" w:rsidRDefault="00EC18EE">
      <w:pPr>
        <w:spacing w:before="0"/>
        <w:ind w:firstLine="0"/>
      </w:pPr>
    </w:p>
    <w:p w:rsidR="00EC18EE" w:rsidRDefault="00B14778">
      <w:pPr>
        <w:spacing w:before="0"/>
        <w:ind w:firstLine="0"/>
      </w:pPr>
      <w:r>
        <w:rPr>
          <w:b/>
        </w:rPr>
        <w:t xml:space="preserve">Ucapan Terima kasih </w:t>
      </w:r>
    </w:p>
    <w:p w:rsidR="00EC18EE" w:rsidRDefault="00B14778">
      <w:pPr>
        <w:spacing w:before="0"/>
        <w:ind w:firstLine="720"/>
      </w:pPr>
      <w:r>
        <w:t>(Bila ada) Penelitian ini dibiayai oleh Universitas Trisakti Tahun Akademik 2016/2017.</w:t>
      </w:r>
    </w:p>
    <w:p w:rsidR="00EC18EE" w:rsidRDefault="00EC18EE">
      <w:pPr>
        <w:spacing w:before="0"/>
        <w:ind w:firstLine="720"/>
      </w:pPr>
    </w:p>
    <w:p w:rsidR="00EC18EE" w:rsidRDefault="00B14778">
      <w:pPr>
        <w:spacing w:before="0"/>
        <w:ind w:firstLine="0"/>
      </w:pPr>
      <w:r>
        <w:rPr>
          <w:b/>
        </w:rPr>
        <w:t xml:space="preserve">Daftar pustaka </w:t>
      </w:r>
    </w:p>
    <w:p w:rsidR="00EC18EE" w:rsidRDefault="00B14778">
      <w:pPr>
        <w:pBdr>
          <w:top w:val="nil"/>
          <w:left w:val="nil"/>
          <w:bottom w:val="nil"/>
          <w:right w:val="nil"/>
          <w:between w:val="nil"/>
        </w:pBdr>
        <w:spacing w:before="0" w:line="360" w:lineRule="auto"/>
        <w:ind w:firstLine="357"/>
        <w:rPr>
          <w:color w:val="000000"/>
          <w:sz w:val="24"/>
          <w:szCs w:val="24"/>
        </w:rPr>
      </w:pPr>
      <w:r>
        <w:rPr>
          <w:color w:val="000000"/>
          <w:sz w:val="24"/>
          <w:szCs w:val="24"/>
        </w:rPr>
        <w:t>Penulisan daftar pustaka sepenuhnya mengikuti sistem IEEE dimana daftar pustaka diberi nomor dalam kurung siku [2] berdasarkan urutan kutipan dalam teks. Referensi yang digunakan pada daftar pustaka sebaiknya dari jurnal atau prosiding konferensi terkini. Contoh penulisan daftar pustaka adalah sebagai berikut:</w:t>
      </w:r>
    </w:p>
    <w:p w:rsidR="00EC18EE" w:rsidRDefault="00B14778">
      <w:pPr>
        <w:numPr>
          <w:ilvl w:val="0"/>
          <w:numId w:val="1"/>
        </w:numPr>
        <w:spacing w:before="0" w:line="360" w:lineRule="auto"/>
        <w:ind w:left="454" w:hanging="454"/>
        <w:rPr>
          <w:sz w:val="24"/>
          <w:szCs w:val="24"/>
        </w:rPr>
      </w:pPr>
      <w:r>
        <w:rPr>
          <w:sz w:val="24"/>
          <w:szCs w:val="24"/>
        </w:rPr>
        <w:t xml:space="preserve">W.K. Chen. </w:t>
      </w:r>
      <w:r>
        <w:rPr>
          <w:i/>
          <w:sz w:val="24"/>
          <w:szCs w:val="24"/>
        </w:rPr>
        <w:t>Linear Networks and Systems</w:t>
      </w:r>
      <w:r>
        <w:rPr>
          <w:sz w:val="24"/>
          <w:szCs w:val="24"/>
        </w:rPr>
        <w:t>. Belmont, CA: Wadsworth, 1993, hlm. 123-135.</w:t>
      </w:r>
    </w:p>
    <w:p w:rsidR="00EC18EE" w:rsidRDefault="00B14778">
      <w:pPr>
        <w:numPr>
          <w:ilvl w:val="0"/>
          <w:numId w:val="1"/>
        </w:numPr>
        <w:spacing w:before="0" w:line="360" w:lineRule="auto"/>
        <w:ind w:left="454" w:hanging="454"/>
        <w:rPr>
          <w:sz w:val="24"/>
          <w:szCs w:val="24"/>
        </w:rPr>
      </w:pPr>
      <w:r>
        <w:rPr>
          <w:sz w:val="24"/>
          <w:szCs w:val="24"/>
        </w:rPr>
        <w:t xml:space="preserve">M.D. Dahleh. “6.5 Matrix methods,” dalam </w:t>
      </w:r>
      <w:r>
        <w:rPr>
          <w:i/>
          <w:sz w:val="24"/>
          <w:szCs w:val="24"/>
        </w:rPr>
        <w:t>Vibration and Shock Handbook</w:t>
      </w:r>
      <w:r>
        <w:rPr>
          <w:sz w:val="24"/>
          <w:szCs w:val="24"/>
        </w:rPr>
        <w:t>. C.W. De Silva, Ed. Boca Raton: Taylor &amp; Francis, 2005, hlm. 6-14.</w:t>
      </w:r>
    </w:p>
    <w:p w:rsidR="00EC18EE" w:rsidRDefault="00B14778">
      <w:pPr>
        <w:numPr>
          <w:ilvl w:val="0"/>
          <w:numId w:val="1"/>
        </w:numPr>
        <w:spacing w:before="0" w:line="360" w:lineRule="auto"/>
        <w:ind w:left="454" w:hanging="454"/>
        <w:rPr>
          <w:sz w:val="24"/>
          <w:szCs w:val="24"/>
        </w:rPr>
      </w:pPr>
      <w:r>
        <w:rPr>
          <w:sz w:val="24"/>
          <w:szCs w:val="24"/>
        </w:rPr>
        <w:t xml:space="preserve">D. Casadei, G. Serra,  K. Tani.  “Implementation of a direct control algorithm for induction motors based on discrete space vector modulation.” </w:t>
      </w:r>
      <w:r>
        <w:rPr>
          <w:i/>
          <w:sz w:val="24"/>
          <w:szCs w:val="24"/>
        </w:rPr>
        <w:t>IEEE Transactions on Power Electronics</w:t>
      </w:r>
      <w:r>
        <w:rPr>
          <w:sz w:val="24"/>
          <w:szCs w:val="24"/>
        </w:rPr>
        <w:t>, 15(4), hlm. 769-777, 2007.</w:t>
      </w:r>
    </w:p>
    <w:p w:rsidR="00EC18EE" w:rsidRDefault="00B14778">
      <w:pPr>
        <w:numPr>
          <w:ilvl w:val="0"/>
          <w:numId w:val="1"/>
        </w:numPr>
        <w:spacing w:before="0" w:line="360" w:lineRule="auto"/>
        <w:ind w:left="454" w:hanging="454"/>
        <w:rPr>
          <w:sz w:val="24"/>
          <w:szCs w:val="24"/>
        </w:rPr>
      </w:pPr>
      <w:r>
        <w:rPr>
          <w:sz w:val="24"/>
          <w:szCs w:val="24"/>
        </w:rPr>
        <w:lastRenderedPageBreak/>
        <w:t xml:space="preserve">R. Nuryadi dan D. Hartanto. “Computer simulation of quantum confinement effect in silicon nano wire,” dalam </w:t>
      </w:r>
      <w:r>
        <w:rPr>
          <w:i/>
          <w:sz w:val="24"/>
          <w:szCs w:val="24"/>
        </w:rPr>
        <w:t>Proc. The 12</w:t>
      </w:r>
      <w:r>
        <w:rPr>
          <w:i/>
          <w:sz w:val="24"/>
          <w:szCs w:val="24"/>
          <w:vertAlign w:val="superscript"/>
        </w:rPr>
        <w:t>th</w:t>
      </w:r>
      <w:r>
        <w:rPr>
          <w:i/>
          <w:sz w:val="24"/>
          <w:szCs w:val="24"/>
        </w:rPr>
        <w:t xml:space="preserve"> International Conference on QiR (Quality in Research</w:t>
      </w:r>
      <w:r>
        <w:rPr>
          <w:sz w:val="24"/>
          <w:szCs w:val="24"/>
        </w:rPr>
        <w:t>, 2011, hlm. 160-166.</w:t>
      </w:r>
    </w:p>
    <w:p w:rsidR="00EC18EE" w:rsidRDefault="00B14778">
      <w:pPr>
        <w:numPr>
          <w:ilvl w:val="0"/>
          <w:numId w:val="1"/>
        </w:numPr>
        <w:spacing w:before="0" w:line="360" w:lineRule="auto"/>
        <w:ind w:left="454" w:hanging="454"/>
        <w:rPr>
          <w:sz w:val="24"/>
          <w:szCs w:val="24"/>
        </w:rPr>
      </w:pPr>
      <w:r>
        <w:rPr>
          <w:sz w:val="24"/>
          <w:szCs w:val="24"/>
        </w:rPr>
        <w:t>E.E. Rebecca. “Alternating current fed power supply.” U.S. Patent 7 897 777, 3 Nov. 1987.</w:t>
      </w:r>
    </w:p>
    <w:p w:rsidR="00EC18EE" w:rsidRDefault="00B14778">
      <w:pPr>
        <w:numPr>
          <w:ilvl w:val="0"/>
          <w:numId w:val="1"/>
        </w:numPr>
        <w:spacing w:before="0" w:line="360" w:lineRule="auto"/>
        <w:ind w:left="454" w:hanging="454"/>
        <w:rPr>
          <w:sz w:val="24"/>
          <w:szCs w:val="24"/>
        </w:rPr>
      </w:pPr>
      <w:r>
        <w:rPr>
          <w:sz w:val="24"/>
          <w:szCs w:val="24"/>
        </w:rPr>
        <w:t xml:space="preserve">D.E. Winterbone. (1997). </w:t>
      </w:r>
      <w:r>
        <w:rPr>
          <w:i/>
          <w:sz w:val="24"/>
          <w:szCs w:val="24"/>
        </w:rPr>
        <w:t xml:space="preserve">Advanced thermodynamics for engineers. </w:t>
      </w:r>
      <w:r>
        <w:rPr>
          <w:sz w:val="24"/>
          <w:szCs w:val="24"/>
        </w:rPr>
        <w:t>[Online]. Tersedia di: www.knovel.com [6 Jan. 2011].</w:t>
      </w:r>
    </w:p>
    <w:p w:rsidR="00EC18EE" w:rsidRDefault="00B14778">
      <w:pPr>
        <w:numPr>
          <w:ilvl w:val="0"/>
          <w:numId w:val="1"/>
        </w:numPr>
        <w:spacing w:before="0" w:line="360" w:lineRule="auto"/>
        <w:ind w:left="454" w:hanging="454"/>
        <w:rPr>
          <w:sz w:val="24"/>
          <w:szCs w:val="24"/>
        </w:rPr>
      </w:pPr>
      <w:r>
        <w:rPr>
          <w:sz w:val="24"/>
          <w:szCs w:val="24"/>
        </w:rPr>
        <w:t xml:space="preserve">A. Paul. (1987, Okt.). “Electrical properties of flying machines”. </w:t>
      </w:r>
      <w:r>
        <w:rPr>
          <w:i/>
          <w:sz w:val="24"/>
          <w:szCs w:val="24"/>
        </w:rPr>
        <w:t>Flying Machines</w:t>
      </w:r>
      <w:r>
        <w:rPr>
          <w:sz w:val="24"/>
          <w:szCs w:val="24"/>
        </w:rPr>
        <w:t xml:space="preserve">. [On-line]. 38(1), hlm. 778-998. Tersedia di: </w:t>
      </w:r>
      <w:hyperlink r:id="rId11">
        <w:r>
          <w:rPr>
            <w:color w:val="0000FF"/>
            <w:sz w:val="24"/>
            <w:szCs w:val="24"/>
            <w:u w:val="single"/>
          </w:rPr>
          <w:t>www.flyingmachjourn/properties/fly.edu [1</w:t>
        </w:r>
      </w:hyperlink>
      <w:r>
        <w:rPr>
          <w:sz w:val="24"/>
          <w:szCs w:val="24"/>
        </w:rPr>
        <w:t xml:space="preserve"> Des 2003].</w:t>
      </w:r>
    </w:p>
    <w:p w:rsidR="00EC18EE" w:rsidRDefault="00B14778">
      <w:pPr>
        <w:numPr>
          <w:ilvl w:val="0"/>
          <w:numId w:val="1"/>
        </w:numPr>
        <w:spacing w:before="0" w:line="360" w:lineRule="auto"/>
        <w:ind w:left="454" w:hanging="454"/>
        <w:rPr>
          <w:sz w:val="24"/>
          <w:szCs w:val="24"/>
        </w:rPr>
      </w:pPr>
      <w:r>
        <w:rPr>
          <w:sz w:val="24"/>
          <w:szCs w:val="24"/>
        </w:rPr>
        <w:t xml:space="preserve">N. Pakvilai. (2013). “Plant macronutrient analysis of enzyme ionic plasma and organic fertilizer from biodegradable waste.” </w:t>
      </w:r>
      <w:r>
        <w:rPr>
          <w:i/>
          <w:sz w:val="24"/>
          <w:szCs w:val="24"/>
        </w:rPr>
        <w:t>The 2</w:t>
      </w:r>
      <w:r>
        <w:rPr>
          <w:i/>
          <w:sz w:val="24"/>
          <w:szCs w:val="24"/>
          <w:vertAlign w:val="superscript"/>
        </w:rPr>
        <w:t>nd</w:t>
      </w:r>
      <w:r>
        <w:rPr>
          <w:i/>
          <w:sz w:val="24"/>
          <w:szCs w:val="24"/>
        </w:rPr>
        <w:t xml:space="preserve"> Annual South East Asian International Seminar (ASAIS)</w:t>
      </w:r>
      <w:r>
        <w:rPr>
          <w:sz w:val="24"/>
          <w:szCs w:val="24"/>
        </w:rPr>
        <w:t xml:space="preserve">. [On-line].hlm. 1-6. Tersedia di: </w:t>
      </w:r>
      <w:hyperlink r:id="rId12">
        <w:r>
          <w:rPr>
            <w:color w:val="0000FF"/>
            <w:sz w:val="24"/>
            <w:szCs w:val="24"/>
            <w:u w:val="single"/>
          </w:rPr>
          <w:t>http://asais-pnj.org</w:t>
        </w:r>
      </w:hyperlink>
      <w:r>
        <w:rPr>
          <w:sz w:val="24"/>
          <w:szCs w:val="24"/>
        </w:rPr>
        <w:t xml:space="preserve"> [17 Jan 2014].</w:t>
      </w:r>
    </w:p>
    <w:p w:rsidR="00EC18EE" w:rsidRDefault="00B14778">
      <w:pPr>
        <w:numPr>
          <w:ilvl w:val="0"/>
          <w:numId w:val="1"/>
        </w:numPr>
        <w:spacing w:before="0" w:line="360" w:lineRule="auto"/>
        <w:ind w:left="454" w:hanging="454"/>
        <w:rPr>
          <w:sz w:val="24"/>
          <w:szCs w:val="24"/>
        </w:rPr>
      </w:pPr>
      <w:r>
        <w:rPr>
          <w:sz w:val="24"/>
          <w:szCs w:val="24"/>
        </w:rPr>
        <w:t xml:space="preserve">M. Duncan. “Engineering Concepts on Ice.” Internet: </w:t>
      </w:r>
      <w:r>
        <w:rPr>
          <w:color w:val="0000FF"/>
          <w:sz w:val="24"/>
          <w:szCs w:val="24"/>
          <w:u w:val="single"/>
        </w:rPr>
        <w:t>www.iceengg.edu/staff.html</w:t>
      </w:r>
      <w:r>
        <w:rPr>
          <w:sz w:val="24"/>
          <w:szCs w:val="24"/>
        </w:rPr>
        <w:t>, 25 Okt. 2000 [29 Nov. 2003].</w:t>
      </w:r>
    </w:p>
    <w:p w:rsidR="00EC18EE" w:rsidRDefault="00B14778">
      <w:pPr>
        <w:numPr>
          <w:ilvl w:val="0"/>
          <w:numId w:val="1"/>
        </w:numPr>
        <w:spacing w:before="0" w:line="360" w:lineRule="auto"/>
        <w:ind w:left="454" w:hanging="454"/>
        <w:rPr>
          <w:sz w:val="24"/>
          <w:szCs w:val="24"/>
        </w:rPr>
      </w:pPr>
      <w:r>
        <w:rPr>
          <w:sz w:val="24"/>
          <w:szCs w:val="24"/>
        </w:rPr>
        <w:t>T. Pangaribuan. “Perkembangan Kompetensi Kewacanaan di LPTK.”</w:t>
      </w:r>
      <w:r>
        <w:rPr>
          <w:i/>
          <w:sz w:val="24"/>
          <w:szCs w:val="24"/>
        </w:rPr>
        <w:t xml:space="preserve"> </w:t>
      </w:r>
      <w:r>
        <w:rPr>
          <w:sz w:val="24"/>
          <w:szCs w:val="24"/>
        </w:rPr>
        <w:t>Disertasi Doktor. IKIP Malang, Malang, 1992.</w:t>
      </w:r>
    </w:p>
    <w:p w:rsidR="00EC18EE" w:rsidRDefault="00B14778">
      <w:pPr>
        <w:numPr>
          <w:ilvl w:val="0"/>
          <w:numId w:val="1"/>
        </w:numPr>
        <w:spacing w:before="0" w:line="360" w:lineRule="auto"/>
        <w:ind w:left="454" w:hanging="454"/>
        <w:rPr>
          <w:sz w:val="24"/>
          <w:szCs w:val="24"/>
        </w:rPr>
      </w:pPr>
      <w:r>
        <w:rPr>
          <w:sz w:val="24"/>
          <w:szCs w:val="24"/>
        </w:rPr>
        <w:t>S. Maw. Bahan Kuliah, Engg 251. Topik: “Speed skating.” ICT 224, Faculty of Engineering, University of Calgary, Calgary, Alberta, 31 Okt. 2003.</w:t>
      </w:r>
    </w:p>
    <w:p w:rsidR="00EC18EE" w:rsidRDefault="00EC18EE">
      <w:pPr>
        <w:spacing w:before="0"/>
        <w:ind w:firstLine="0"/>
      </w:pPr>
    </w:p>
    <w:sectPr w:rsidR="00EC18EE">
      <w:headerReference w:type="default" r:id="rId13"/>
      <w:footerReference w:type="default" r:id="rId14"/>
      <w:pgSz w:w="11906" w:h="16838"/>
      <w:pgMar w:top="1418" w:right="1418" w:bottom="1418"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5F92" w:rsidRDefault="00DD5F92">
      <w:pPr>
        <w:spacing w:before="0"/>
      </w:pPr>
      <w:r>
        <w:separator/>
      </w:r>
    </w:p>
  </w:endnote>
  <w:endnote w:type="continuationSeparator" w:id="0">
    <w:p w:rsidR="00DD5F92" w:rsidRDefault="00DD5F9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8EE" w:rsidRDefault="00EC18EE">
    <w:pPr>
      <w:spacing w:after="56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5F92" w:rsidRDefault="00DD5F92">
      <w:pPr>
        <w:spacing w:before="0"/>
      </w:pPr>
      <w:r>
        <w:separator/>
      </w:r>
    </w:p>
  </w:footnote>
  <w:footnote w:type="continuationSeparator" w:id="0">
    <w:p w:rsidR="00DD5F92" w:rsidRDefault="00DD5F9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8EE" w:rsidRPr="00BF2D35" w:rsidRDefault="004148D1">
    <w:pPr>
      <w:spacing w:before="720"/>
      <w:rPr>
        <w:lang w:val="en-US"/>
      </w:rPr>
    </w:pPr>
    <w:r>
      <w:t>TECHNOPEX-202</w:t>
    </w:r>
    <w:r w:rsidR="00AA74E6">
      <w:rPr>
        <w:lang w:val="en-US"/>
      </w:rPr>
      <w:t>5</w:t>
    </w:r>
    <w:r w:rsidR="00B14778">
      <w:t xml:space="preserve"> Institut Teknologi Indonesia</w:t>
    </w:r>
    <w:r w:rsidR="00B14778">
      <w:tab/>
      <w:t xml:space="preserve">                                       ISSN: </w:t>
    </w:r>
    <w:r w:rsidR="00BF2D35">
      <w:rPr>
        <w:lang w:val="en-US"/>
      </w:rPr>
      <w:t>####</w:t>
    </w:r>
    <w:r w:rsidR="00BF2D35">
      <w:t>-</w:t>
    </w:r>
    <w:r w:rsidR="00BF2D35">
      <w:rPr>
        <w:lang w:val="en-US"/>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6320C1"/>
    <w:multiLevelType w:val="multilevel"/>
    <w:tmpl w:val="9984066A"/>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4CB45E9"/>
    <w:multiLevelType w:val="multilevel"/>
    <w:tmpl w:val="6C36CB3E"/>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 w15:restartNumberingAfterBreak="0">
    <w:nsid w:val="5AB51E4D"/>
    <w:multiLevelType w:val="multilevel"/>
    <w:tmpl w:val="37006D50"/>
    <w:lvl w:ilvl="0">
      <w:start w:val="1"/>
      <w:numFmt w:val="lowerLetter"/>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 w15:restartNumberingAfterBreak="0">
    <w:nsid w:val="7E717742"/>
    <w:multiLevelType w:val="multilevel"/>
    <w:tmpl w:val="074C4538"/>
    <w:lvl w:ilvl="0">
      <w:start w:val="1"/>
      <w:numFmt w:val="lowerLetter"/>
      <w:lvlText w:val="%1."/>
      <w:lvlJc w:val="left"/>
      <w:pPr>
        <w:ind w:left="360" w:firstLine="0"/>
      </w:pPr>
      <w:rPr>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8EE"/>
    <w:rsid w:val="00314735"/>
    <w:rsid w:val="004148D1"/>
    <w:rsid w:val="006A5693"/>
    <w:rsid w:val="00AA74E6"/>
    <w:rsid w:val="00AD772E"/>
    <w:rsid w:val="00B14778"/>
    <w:rsid w:val="00BA5F81"/>
    <w:rsid w:val="00BF2D35"/>
    <w:rsid w:val="00DD5F92"/>
    <w:rsid w:val="00E44EF1"/>
    <w:rsid w:val="00EC18EE"/>
    <w:rsid w:val="00F42AFC"/>
    <w:rsid w:val="00F95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67E09"/>
  <w15:docId w15:val="{C05B5B52-BB87-4720-9091-5BF6A4745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id-ID" w:eastAsia="en-US" w:bidi="ar-SA"/>
      </w:rPr>
    </w:rPrDefault>
    <w:pPrDefault>
      <w:pPr>
        <w:spacing w:before="80"/>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1412B"/>
  </w:style>
  <w:style w:type="paragraph" w:styleId="Heading1">
    <w:name w:val="heading 1"/>
    <w:basedOn w:val="Normal"/>
    <w:next w:val="Normal"/>
    <w:rsid w:val="00D1412B"/>
    <w:pPr>
      <w:keepNext/>
      <w:keepLines/>
      <w:jc w:val="center"/>
      <w:outlineLvl w:val="0"/>
    </w:pPr>
    <w:rPr>
      <w:b/>
      <w:sz w:val="28"/>
      <w:szCs w:val="28"/>
    </w:rPr>
  </w:style>
  <w:style w:type="paragraph" w:styleId="Heading2">
    <w:name w:val="heading 2"/>
    <w:basedOn w:val="Normal"/>
    <w:next w:val="Normal"/>
    <w:rsid w:val="00D1412B"/>
    <w:pPr>
      <w:keepNext/>
      <w:keepLines/>
      <w:spacing w:after="60"/>
      <w:ind w:firstLine="0"/>
      <w:outlineLvl w:val="1"/>
    </w:pPr>
    <w:rPr>
      <w:b/>
      <w:sz w:val="28"/>
      <w:szCs w:val="28"/>
    </w:rPr>
  </w:style>
  <w:style w:type="paragraph" w:styleId="Heading3">
    <w:name w:val="heading 3"/>
    <w:basedOn w:val="Normal"/>
    <w:next w:val="Normal"/>
    <w:rsid w:val="00D1412B"/>
    <w:pPr>
      <w:keepNext/>
      <w:keepLines/>
      <w:ind w:firstLine="0"/>
      <w:outlineLvl w:val="2"/>
    </w:pPr>
    <w:rPr>
      <w:b/>
    </w:rPr>
  </w:style>
  <w:style w:type="paragraph" w:styleId="Heading4">
    <w:name w:val="heading 4"/>
    <w:basedOn w:val="Normal"/>
    <w:next w:val="Normal"/>
    <w:rsid w:val="00D1412B"/>
    <w:pPr>
      <w:keepNext/>
      <w:keepLines/>
      <w:ind w:firstLine="0"/>
      <w:outlineLvl w:val="3"/>
    </w:pPr>
    <w:rPr>
      <w:sz w:val="20"/>
      <w:szCs w:val="20"/>
      <w:u w:val="single"/>
    </w:rPr>
  </w:style>
  <w:style w:type="paragraph" w:styleId="Heading5">
    <w:name w:val="heading 5"/>
    <w:basedOn w:val="Normal"/>
    <w:next w:val="Normal"/>
    <w:rsid w:val="00D1412B"/>
    <w:pPr>
      <w:keepNext/>
      <w:keepLines/>
      <w:spacing w:before="240" w:after="60"/>
      <w:outlineLvl w:val="4"/>
    </w:pPr>
  </w:style>
  <w:style w:type="paragraph" w:styleId="Heading6">
    <w:name w:val="heading 6"/>
    <w:basedOn w:val="Normal"/>
    <w:next w:val="Normal"/>
    <w:rsid w:val="00D1412B"/>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D1412B"/>
    <w:pPr>
      <w:keepNext/>
      <w:keepLines/>
      <w:spacing w:before="480" w:after="120"/>
      <w:contextualSpacing/>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rsid w:val="00D1412B"/>
    <w:tblPr>
      <w:tblStyleRowBandSize w:val="1"/>
      <w:tblStyleColBandSize w:val="1"/>
    </w:tblPr>
  </w:style>
  <w:style w:type="table" w:customStyle="1" w:styleId="3">
    <w:name w:val="3"/>
    <w:basedOn w:val="TableNormal"/>
    <w:rsid w:val="00D1412B"/>
    <w:tblPr>
      <w:tblStyleRowBandSize w:val="1"/>
      <w:tblStyleColBandSize w:val="1"/>
    </w:tblPr>
  </w:style>
  <w:style w:type="paragraph" w:styleId="Header">
    <w:name w:val="header"/>
    <w:basedOn w:val="Normal"/>
    <w:link w:val="HeaderChar"/>
    <w:uiPriority w:val="99"/>
    <w:unhideWhenUsed/>
    <w:rsid w:val="00C3525A"/>
    <w:pPr>
      <w:tabs>
        <w:tab w:val="center" w:pos="4513"/>
        <w:tab w:val="right" w:pos="9026"/>
      </w:tabs>
      <w:spacing w:before="0"/>
    </w:pPr>
  </w:style>
  <w:style w:type="character" w:customStyle="1" w:styleId="HeaderChar">
    <w:name w:val="Header Char"/>
    <w:basedOn w:val="DefaultParagraphFont"/>
    <w:link w:val="Header"/>
    <w:uiPriority w:val="99"/>
    <w:rsid w:val="00C3525A"/>
  </w:style>
  <w:style w:type="paragraph" w:styleId="Footer">
    <w:name w:val="footer"/>
    <w:basedOn w:val="Normal"/>
    <w:link w:val="FooterChar"/>
    <w:uiPriority w:val="99"/>
    <w:unhideWhenUsed/>
    <w:rsid w:val="00C3525A"/>
    <w:pPr>
      <w:tabs>
        <w:tab w:val="center" w:pos="4513"/>
        <w:tab w:val="right" w:pos="9026"/>
      </w:tabs>
      <w:spacing w:before="0"/>
    </w:pPr>
  </w:style>
  <w:style w:type="character" w:customStyle="1" w:styleId="FooterChar">
    <w:name w:val="Footer Char"/>
    <w:basedOn w:val="DefaultParagraphFont"/>
    <w:link w:val="Footer"/>
    <w:uiPriority w:val="99"/>
    <w:rsid w:val="00C3525A"/>
  </w:style>
  <w:style w:type="paragraph" w:styleId="BalloonText">
    <w:name w:val="Balloon Text"/>
    <w:basedOn w:val="Normal"/>
    <w:link w:val="BalloonTextChar"/>
    <w:uiPriority w:val="99"/>
    <w:semiHidden/>
    <w:unhideWhenUsed/>
    <w:rsid w:val="00C3525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25A"/>
    <w:rPr>
      <w:rFonts w:ascii="Tahoma" w:hAnsi="Tahoma" w:cs="Tahoma"/>
      <w:sz w:val="16"/>
      <w:szCs w:val="16"/>
    </w:rPr>
  </w:style>
  <w:style w:type="character" w:styleId="Hyperlink">
    <w:name w:val="Hyperlink"/>
    <w:basedOn w:val="DefaultParagraphFont"/>
    <w:uiPriority w:val="99"/>
    <w:unhideWhenUsed/>
    <w:rsid w:val="00923DA4"/>
    <w:rPr>
      <w:color w:val="0000FF" w:themeColor="hyperlink"/>
      <w:u w:val="single"/>
    </w:rPr>
  </w:style>
  <w:style w:type="paragraph" w:styleId="ListParagraph">
    <w:name w:val="List Paragraph"/>
    <w:basedOn w:val="Normal"/>
    <w:uiPriority w:val="34"/>
    <w:qFormat/>
    <w:rsid w:val="00923DA4"/>
    <w:pPr>
      <w:spacing w:before="0" w:after="200" w:line="276" w:lineRule="auto"/>
      <w:ind w:left="720" w:firstLine="0"/>
      <w:contextualSpacing/>
      <w:jc w:val="left"/>
    </w:pPr>
    <w:rPr>
      <w:rFonts w:ascii="Calibri" w:eastAsia="Calibri" w:hAnsi="Calibri"/>
      <w:lang w:val="en-US"/>
    </w:rPr>
  </w:style>
  <w:style w:type="paragraph" w:styleId="NoSpacing">
    <w:name w:val="No Spacing"/>
    <w:uiPriority w:val="1"/>
    <w:qFormat/>
    <w:rsid w:val="00923DA4"/>
    <w:pPr>
      <w:spacing w:before="0"/>
      <w:ind w:firstLine="0"/>
      <w:jc w:val="left"/>
    </w:pPr>
    <w:rPr>
      <w:rFonts w:asciiTheme="minorHAnsi" w:eastAsiaTheme="minorHAnsi" w:hAnsiTheme="minorHAnsi" w:cstheme="minorBidi"/>
    </w:r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cahaya@g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sais-pnj.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lyingmachjourn/properties/fly.edu%20%5b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mailto:nurcahaya@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bGo0M04VRSAG68sVx6gsavH+62A==">AMUW2mUxVecJgRYGGkZH1aQp35pMdor1Rn2A5Ju+NyXoKDoUAK1hRX2zEYofdcu6x/5qCuGHwSQjEIRE48GCnirlfaVJMq2A139HSGWp/fqCywCukkaxWvbh3m+kSPl+313baBQzU8N4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765</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Haykal</dc:creator>
  <cp:keywords/>
  <dc:description/>
  <cp:lastModifiedBy>PRPM</cp:lastModifiedBy>
  <cp:revision>2</cp:revision>
  <dcterms:created xsi:type="dcterms:W3CDTF">2025-07-31T08:45:00Z</dcterms:created>
  <dcterms:modified xsi:type="dcterms:W3CDTF">2025-07-31T08:45:00Z</dcterms:modified>
</cp:coreProperties>
</file>